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bookmarkStart w:id="0" w:name="_Toc1602530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Times New Roman"/>
          <w:b/>
          <w:bCs/>
          <w:spacing w:val="-6"/>
          <w:w w:val="100"/>
          <w:sz w:val="32"/>
          <w:szCs w:val="28"/>
          <w:highlight w:val="none"/>
          <w:lang w:val="en-US" w:eastAsia="zh-CN"/>
        </w:rPr>
      </w:pPr>
      <w:r>
        <w:rPr>
          <w:rFonts w:hint="eastAsia" w:ascii="宋体" w:hAnsi="宋体" w:eastAsia="宋体" w:cs="Times New Roman"/>
          <w:b/>
          <w:bCs/>
          <w:spacing w:val="-6"/>
          <w:w w:val="100"/>
          <w:sz w:val="32"/>
          <w:szCs w:val="28"/>
          <w:highlight w:val="none"/>
          <w:lang w:val="en-US" w:eastAsia="zh-CN"/>
        </w:rPr>
        <w:t>2023中国国际数字经济博览</w:t>
      </w:r>
      <w:r>
        <w:rPr>
          <w:rFonts w:hint="eastAsia" w:ascii="宋体" w:hAnsi="宋体" w:cs="Times New Roman"/>
          <w:b/>
          <w:bCs/>
          <w:spacing w:val="-6"/>
          <w:w w:val="100"/>
          <w:sz w:val="32"/>
          <w:szCs w:val="28"/>
          <w:highlight w:val="none"/>
          <w:lang w:val="en-US" w:eastAsia="zh-CN"/>
        </w:rPr>
        <w:t>会展馆公共区域环境氛围营造</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制作与安装项目1标段</w:t>
      </w:r>
    </w:p>
    <w:p>
      <w:pPr>
        <w:pStyle w:val="2"/>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8</w:t>
      </w:r>
      <w:r>
        <w:rPr>
          <w:rFonts w:hint="eastAsia" w:ascii="宋体" w:hAnsi="宋体"/>
          <w:bCs/>
          <w:sz w:val="28"/>
        </w:rPr>
        <w:t>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2023中国国际数字经济博览会展馆公共区域环境氛围营造制作与安装项目1标段询价采购公告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：2023中国国际数字经济博览会展馆公共区域环境氛围营造</w:t>
      </w:r>
      <w:r>
        <w:rPr>
          <w:rFonts w:hint="eastAsia" w:ascii="宋体" w:hAnsi="宋体" w:cs="宋体"/>
          <w:i w:val="0"/>
          <w:caps w:val="0"/>
          <w:color w:val="auto"/>
          <w:spacing w:val="0"/>
          <w:sz w:val="24"/>
          <w:szCs w:val="24"/>
          <w:shd w:val="clear" w:color="auto" w:fill="FFFFFF"/>
          <w:lang w:val="en-US" w:eastAsia="zh-CN"/>
        </w:rPr>
        <w:t>制作与安装</w:t>
      </w: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cs="宋体"/>
          <w:i w:val="0"/>
          <w:caps w:val="0"/>
          <w:color w:val="auto"/>
          <w:spacing w:val="0"/>
          <w:sz w:val="24"/>
          <w:szCs w:val="24"/>
          <w:shd w:val="clear" w:color="auto" w:fill="FFFFFF"/>
          <w:lang w:val="en-US" w:eastAsia="zh-CN"/>
        </w:rPr>
        <w:t>1标段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400000元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sz w:val="24"/>
          <w:szCs w:val="24"/>
          <w:shd w:val="clear" w:color="auto" w:fill="FFFFFF"/>
          <w:lang w:val="en-US" w:eastAsia="zh-CN"/>
        </w:rPr>
        <w:t>根据采购人要求，负责</w:t>
      </w:r>
      <w:r>
        <w:rPr>
          <w:rFonts w:hint="eastAsia" w:ascii="宋体" w:hAnsi="宋体" w:eastAsia="宋体" w:cs="宋体"/>
          <w:i w:val="0"/>
          <w:caps w:val="0"/>
          <w:color w:val="auto"/>
          <w:spacing w:val="0"/>
          <w:sz w:val="24"/>
          <w:szCs w:val="24"/>
          <w:shd w:val="clear" w:color="auto" w:fill="FFFFFF"/>
          <w:lang w:val="en-US" w:eastAsia="zh-CN"/>
        </w:rPr>
        <w:t>2023中国国际数字经济博览会展馆公共区域</w:t>
      </w:r>
      <w:r>
        <w:rPr>
          <w:rFonts w:hint="eastAsia" w:ascii="宋体" w:hAnsi="宋体" w:cs="宋体"/>
          <w:i w:val="0"/>
          <w:caps w:val="0"/>
          <w:color w:val="auto"/>
          <w:spacing w:val="0"/>
          <w:sz w:val="24"/>
          <w:szCs w:val="24"/>
          <w:shd w:val="clear" w:color="auto" w:fill="FFFFFF"/>
          <w:lang w:val="en-US" w:eastAsia="zh-CN"/>
        </w:rPr>
        <w:t>部分</w:t>
      </w:r>
      <w:r>
        <w:rPr>
          <w:rFonts w:hint="eastAsia" w:ascii="宋体" w:hAnsi="宋体" w:eastAsia="宋体" w:cs="宋体"/>
          <w:i w:val="0"/>
          <w:caps w:val="0"/>
          <w:color w:val="auto"/>
          <w:spacing w:val="0"/>
          <w:sz w:val="24"/>
          <w:szCs w:val="24"/>
          <w:shd w:val="clear" w:color="auto" w:fill="FFFFFF"/>
          <w:lang w:val="en-US" w:eastAsia="zh-CN"/>
        </w:rPr>
        <w:t>环境氛围营造</w:t>
      </w:r>
      <w:r>
        <w:rPr>
          <w:rFonts w:hint="eastAsia" w:ascii="宋体" w:hAnsi="宋体" w:cs="宋体"/>
          <w:i w:val="0"/>
          <w:caps w:val="0"/>
          <w:color w:val="auto"/>
          <w:spacing w:val="0"/>
          <w:sz w:val="24"/>
          <w:szCs w:val="24"/>
          <w:shd w:val="clear" w:color="auto" w:fill="FFFFFF"/>
          <w:lang w:val="en-US" w:eastAsia="zh-CN"/>
        </w:rPr>
        <w:t>制作与安装工作</w:t>
      </w:r>
      <w:r>
        <w:rPr>
          <w:rFonts w:hint="eastAsia" w:ascii="宋体" w:hAnsi="宋体" w:eastAsia="宋体" w:cs="宋体"/>
          <w:i w:val="0"/>
          <w:caps w:val="0"/>
          <w:color w:val="auto"/>
          <w:spacing w:val="0"/>
          <w:sz w:val="24"/>
          <w:szCs w:val="24"/>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cs="宋体"/>
          <w:i w:val="0"/>
          <w:caps w:val="0"/>
          <w:color w:val="auto"/>
          <w:spacing w:val="0"/>
          <w:sz w:val="24"/>
          <w:szCs w:val="24"/>
          <w:shd w:val="clear" w:color="auto" w:fill="FFFFFF"/>
          <w:lang w:val="en-US" w:eastAsia="zh-CN"/>
        </w:rPr>
        <w:t>自签订合同之日起至9月4日完成。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color="auto" w:fill="FFFFFF"/>
        </w:rPr>
        <w:t>开标时间：202</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8</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25</w:t>
      </w:r>
      <w:r>
        <w:rPr>
          <w:rFonts w:hint="eastAsia" w:ascii="宋体" w:hAnsi="宋体" w:eastAsia="宋体" w:cs="宋体"/>
          <w:i w:val="0"/>
          <w:caps w:val="0"/>
          <w:color w:val="auto"/>
          <w:spacing w:val="0"/>
          <w:sz w:val="24"/>
          <w:szCs w:val="24"/>
          <w:shd w:val="clear" w:color="auto" w:fill="FFFFFF"/>
        </w:rPr>
        <w:t>日 9:30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sz w:val="24"/>
          <w:szCs w:val="24"/>
          <w:shd w:val="clear" w:color="auto" w:fill="FFFFFF"/>
          <w:lang w:val="en-US" w:eastAsia="zh-CN"/>
        </w:rPr>
        <w:t>根据采购人要求，负责</w:t>
      </w:r>
      <w:r>
        <w:rPr>
          <w:rFonts w:hint="eastAsia" w:ascii="宋体" w:hAnsi="宋体" w:eastAsia="宋体" w:cs="宋体"/>
          <w:i w:val="0"/>
          <w:caps w:val="0"/>
          <w:color w:val="auto"/>
          <w:spacing w:val="0"/>
          <w:sz w:val="24"/>
          <w:szCs w:val="24"/>
          <w:shd w:val="clear" w:color="auto" w:fill="FFFFFF"/>
          <w:lang w:val="en-US" w:eastAsia="zh-CN"/>
        </w:rPr>
        <w:t>2023中国国际数字经济博览会展馆公共区域</w:t>
      </w:r>
      <w:r>
        <w:rPr>
          <w:rFonts w:hint="eastAsia" w:ascii="宋体" w:hAnsi="宋体" w:cs="宋体"/>
          <w:i w:val="0"/>
          <w:caps w:val="0"/>
          <w:color w:val="auto"/>
          <w:spacing w:val="0"/>
          <w:sz w:val="24"/>
          <w:szCs w:val="24"/>
          <w:shd w:val="clear" w:color="auto" w:fill="FFFFFF"/>
          <w:lang w:val="en-US" w:eastAsia="zh-CN"/>
        </w:rPr>
        <w:t>部分</w:t>
      </w:r>
      <w:r>
        <w:rPr>
          <w:rFonts w:hint="eastAsia" w:ascii="宋体" w:hAnsi="宋体" w:eastAsia="宋体" w:cs="宋体"/>
          <w:i w:val="0"/>
          <w:caps w:val="0"/>
          <w:color w:val="auto"/>
          <w:spacing w:val="0"/>
          <w:sz w:val="24"/>
          <w:szCs w:val="24"/>
          <w:shd w:val="clear" w:color="auto" w:fill="FFFFFF"/>
          <w:lang w:val="en-US" w:eastAsia="zh-CN"/>
        </w:rPr>
        <w:t>环境氛围营造</w:t>
      </w:r>
      <w:r>
        <w:rPr>
          <w:rFonts w:hint="eastAsia" w:ascii="宋体" w:hAnsi="宋体" w:cs="宋体"/>
          <w:i w:val="0"/>
          <w:caps w:val="0"/>
          <w:color w:val="auto"/>
          <w:spacing w:val="0"/>
          <w:sz w:val="24"/>
          <w:szCs w:val="24"/>
          <w:shd w:val="clear" w:color="auto" w:fill="FFFFFF"/>
          <w:lang w:val="en-US" w:eastAsia="zh-CN"/>
        </w:rPr>
        <w:t>制作与安装工作。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i w:val="0"/>
          <w:caps w:val="0"/>
          <w:color w:val="auto"/>
          <w:spacing w:val="0"/>
          <w:kern w:val="0"/>
          <w:sz w:val="24"/>
          <w:szCs w:val="24"/>
          <w:shd w:val="clear" w:color="auto" w:fill="FFFFFF"/>
          <w:lang w:val="en-US" w:eastAsia="zh-CN" w:bidi="ar"/>
        </w:rPr>
      </w:pPr>
      <w:r>
        <w:rPr>
          <w:rFonts w:hint="eastAsia" w:ascii="宋体" w:hAnsi="宋体" w:cs="宋体"/>
          <w:i w:val="0"/>
          <w:caps w:val="0"/>
          <w:color w:val="auto"/>
          <w:spacing w:val="0"/>
          <w:kern w:val="0"/>
          <w:sz w:val="24"/>
          <w:szCs w:val="24"/>
          <w:shd w:val="clear" w:color="auto" w:fill="FFFFFF"/>
          <w:lang w:val="en-US" w:eastAsia="zh-CN" w:bidi="ar"/>
        </w:rPr>
        <w:t>1.根据采购人提供的设计方案，对博览会展馆公共区域部分环境氛围营造进行制作与安装工作，具体负责区域见下表：</w:t>
      </w:r>
    </w:p>
    <w:tbl>
      <w:tblPr>
        <w:tblStyle w:val="9"/>
        <w:tblW w:w="7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307"/>
        <w:gridCol w:w="2166"/>
        <w:gridCol w:w="1591"/>
        <w:gridCol w:w="837"/>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项目位置</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尺寸面积m</w:t>
            </w:r>
            <w:r>
              <w:rPr>
                <w:rStyle w:val="15"/>
                <w:rFonts w:hint="eastAsia" w:ascii="仿宋" w:hAnsi="仿宋" w:eastAsia="仿宋" w:cs="仿宋"/>
                <w:sz w:val="21"/>
                <w:szCs w:val="21"/>
                <w:lang w:val="en-US" w:eastAsia="zh-CN"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吊旗</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2 3 8 4 5馆</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铁马</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会展中心广场</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1.2m*2m</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注水道旗</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会展中心广场</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绢布安装</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多功能厅绢布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245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异形门头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1馆东门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据实尺寸</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门头制作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123馆</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据实尺寸</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kern w:val="0"/>
          <w:sz w:val="24"/>
          <w:szCs w:val="24"/>
          <w:shd w:val="clear" w:color="auto" w:fill="FFFFFF"/>
          <w:lang w:val="en-US" w:eastAsia="zh-CN" w:bidi="ar"/>
        </w:rPr>
        <w:t>2.博览会结束后，中标方须将所负责项目全部拆除，拆除完成后如对展馆内相关设施造成损坏的，由中标方负责维修。</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3.投标人须综合考虑本项目相关环节所产生所有费用，应充分衡量和估计本项目履行中可能发生的其他潜在导致价格变动风险因素，报价接受后视为产生的所有服务已经包含在该价格中。</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4.中标人应严格按照本招标文件及招标人要求执业，招标人将对中标人的服务质量不定期进行审核。</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lang w:val="en-US" w:eastAsia="zh-CN"/>
        </w:rPr>
      </w:pPr>
      <w:r>
        <w:rPr>
          <w:rFonts w:hint="eastAsia" w:ascii="宋体" w:hAnsi="宋体" w:cs="宋体"/>
          <w:i w:val="0"/>
          <w:caps w:val="0"/>
          <w:color w:val="auto"/>
          <w:spacing w:val="0"/>
          <w:sz w:val="24"/>
          <w:szCs w:val="24"/>
          <w:shd w:val="clear" w:color="auto" w:fill="FFFFFF"/>
          <w:lang w:val="en-US" w:eastAsia="zh-CN"/>
        </w:rPr>
        <w:t>5.针对会场的搭建服务，中标人应对服务过程中的人身、财产安全承担责任，因中标人服务或搭建不当等原因导致的人身、财产安全事故，均由中标人自行承担全部法律责任。</w:t>
      </w:r>
    </w:p>
    <w:p>
      <w:pPr>
        <w:pStyle w:val="2"/>
        <w:rPr>
          <w:rFonts w:hint="eastAsia"/>
          <w:lang w:val="en-US" w:eastAsia="zh-CN"/>
        </w:rPr>
      </w:pPr>
    </w:p>
    <w:p>
      <w:pPr>
        <w:pStyle w:val="2"/>
        <w:rPr>
          <w:rFonts w:hint="eastAsia"/>
          <w:lang w:val="en-US" w:eastAsia="zh-CN"/>
        </w:rPr>
      </w:pPr>
    </w:p>
    <w:p>
      <w:pPr>
        <w:rPr>
          <w:rFonts w:hint="default"/>
          <w:lang w:val="en-US" w:eastAsia="zh-CN"/>
        </w:rPr>
      </w:pPr>
    </w:p>
    <w:p>
      <w:pPr>
        <w:pStyle w:val="5"/>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1"/>
        <w:tabs>
          <w:tab w:val="left" w:pos="1681"/>
        </w:tabs>
        <w:spacing w:line="360" w:lineRule="auto"/>
        <w:ind w:left="0" w:leftChars="0" w:firstLine="0" w:firstLineChars="0"/>
        <w:rPr>
          <w:rFonts w:hint="eastAsia" w:ascii="宋体" w:hAnsi="宋体"/>
          <w:color w:val="auto"/>
          <w:kern w:val="1"/>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实施方案或采购要求响应承诺</w:t>
      </w:r>
    </w:p>
    <w:p>
      <w:pPr>
        <w:pStyle w:val="5"/>
        <w:spacing w:before="0" w:after="0"/>
        <w:ind w:firstLine="643" w:firstLineChars="200"/>
        <w:rPr>
          <w:rFonts w:hint="eastAsia" w:ascii="宋体" w:hAnsi="宋体" w:eastAsia="宋体" w:cs="宋体"/>
          <w:b/>
          <w:bCs/>
          <w:sz w:val="32"/>
          <w:szCs w:val="32"/>
          <w:lang w:val="en-US" w:eastAsia="zh-CN"/>
        </w:rPr>
      </w:pPr>
    </w:p>
    <w:p>
      <w:pPr>
        <w:pStyle w:val="5"/>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eastAsia" w:ascii="宋体" w:hAnsi="宋体"/>
          <w:b/>
          <w:bCs/>
          <w:color w:val="auto"/>
          <w:spacing w:val="-6"/>
          <w:sz w:val="52"/>
          <w:szCs w:val="48"/>
          <w:highlight w:val="yellow"/>
          <w:lang w:val="en-US" w:eastAsia="zh-CN"/>
        </w:rPr>
      </w:pPr>
      <w:r>
        <w:rPr>
          <w:rFonts w:hint="eastAsia" w:ascii="宋体" w:hAnsi="宋体" w:eastAsia="宋体" w:cs="Times New Roman"/>
          <w:color w:val="auto"/>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color w:val="auto"/>
          <w:kern w:val="2"/>
          <w:sz w:val="24"/>
          <w:szCs w:val="24"/>
          <w:lang w:val="en-US" w:eastAsia="zh-CN" w:bidi="ar-SA"/>
        </w:rPr>
        <w:t>，开</w:t>
      </w:r>
      <w:r>
        <w:rPr>
          <w:rFonts w:hint="eastAsia" w:ascii="宋体" w:hAnsi="宋体" w:eastAsia="宋体" w:cs="Times New Roman"/>
          <w:color w:val="auto"/>
          <w:kern w:val="2"/>
          <w:sz w:val="24"/>
          <w:szCs w:val="24"/>
          <w:lang w:val="en-US" w:eastAsia="zh-CN" w:bidi="ar-SA"/>
        </w:rPr>
        <w:t>标前不得开封</w:t>
      </w:r>
      <w:r>
        <w:rPr>
          <w:rFonts w:hint="eastAsia" w:ascii="宋体" w:hAnsi="宋体" w:cs="Times New Roman"/>
          <w:color w:val="auto"/>
          <w:kern w:val="2"/>
          <w:sz w:val="24"/>
          <w:szCs w:val="24"/>
          <w:lang w:val="en-US" w:eastAsia="zh-CN" w:bidi="ar-SA"/>
        </w:rPr>
        <w:t>。</w:t>
      </w:r>
    </w:p>
    <w:p>
      <w:pP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Times New Roman"/>
          <w:b/>
          <w:bCs/>
          <w:spacing w:val="-6"/>
          <w:w w:val="100"/>
          <w:sz w:val="32"/>
          <w:szCs w:val="28"/>
          <w:highlight w:val="none"/>
          <w:lang w:val="en-US" w:eastAsia="zh-CN"/>
        </w:rPr>
      </w:pPr>
      <w:r>
        <w:rPr>
          <w:rFonts w:hint="eastAsia" w:ascii="宋体" w:hAnsi="宋体" w:eastAsia="宋体" w:cs="Times New Roman"/>
          <w:b/>
          <w:bCs/>
          <w:spacing w:val="-6"/>
          <w:w w:val="100"/>
          <w:sz w:val="32"/>
          <w:szCs w:val="28"/>
          <w:highlight w:val="none"/>
          <w:lang w:val="en-US" w:eastAsia="zh-CN"/>
        </w:rPr>
        <w:t>2023中国国际数字经济博览</w:t>
      </w:r>
      <w:r>
        <w:rPr>
          <w:rFonts w:hint="eastAsia" w:ascii="宋体" w:hAnsi="宋体" w:cs="Times New Roman"/>
          <w:b/>
          <w:bCs/>
          <w:spacing w:val="-6"/>
          <w:w w:val="100"/>
          <w:sz w:val="32"/>
          <w:szCs w:val="28"/>
          <w:highlight w:val="none"/>
          <w:lang w:val="en-US" w:eastAsia="zh-CN"/>
        </w:rPr>
        <w:t>会展馆公共区域环境氛围营造</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制作与安装项目1标段</w:t>
      </w: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2"/>
        <w:ind w:left="0" w:leftChars="0" w:firstLine="0" w:firstLineChars="0"/>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16025318"/>
      <w:bookmarkStart w:id="2" w:name="_Toc3253"/>
      <w:bookmarkStart w:id="3" w:name="_Toc16025320"/>
      <w:bookmarkStart w:id="4" w:name="_Toc16625"/>
      <w:r>
        <w:rPr>
          <w:rFonts w:hint="eastAsia" w:ascii="宋体" w:hAnsi="宋体"/>
          <w:b/>
          <w:bCs/>
          <w:sz w:val="30"/>
          <w:szCs w:val="30"/>
        </w:rPr>
        <w:t>一、</w:t>
      </w:r>
      <w:bookmarkEnd w:id="1"/>
      <w:bookmarkEnd w:id="2"/>
      <w:bookmarkStart w:id="5" w:name="_Toc18895"/>
      <w:bookmarkStart w:id="6" w:name="_Toc16025319"/>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9"/>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32234"/>
      <w:bookmarkStart w:id="10" w:name="_Toc16025321"/>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3"/>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3"/>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3"/>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3"/>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3"/>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025323"/>
      <w:bookmarkStart w:id="12" w:name="_Toc1629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9"/>
        <w:tblW w:w="8568"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225"/>
        <w:gridCol w:w="1660"/>
        <w:gridCol w:w="1431"/>
        <w:gridCol w:w="778"/>
        <w:gridCol w:w="904"/>
        <w:gridCol w:w="904"/>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项目位置</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尺寸面积m</w:t>
            </w:r>
            <w:r>
              <w:rPr>
                <w:rStyle w:val="15"/>
                <w:rFonts w:hint="eastAsia" w:ascii="仿宋" w:hAnsi="仿宋" w:eastAsia="仿宋" w:cs="仿宋"/>
                <w:sz w:val="21"/>
                <w:szCs w:val="21"/>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吊旗</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2 3 8 4 5馆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铁马</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会展中心广场</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1.2m*2m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注水道旗</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会展中心广场</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绢布安装</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多功能厅绢布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异形门头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1馆东门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据实尺寸</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门头制作</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据实尺寸</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7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352"/>
              </w:tabs>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大写：     小写：</w:t>
            </w:r>
          </w:p>
        </w:tc>
      </w:tr>
    </w:tbl>
    <w:p>
      <w:pPr>
        <w:pStyle w:val="8"/>
        <w:ind w:firstLine="360" w:firstLineChars="150"/>
        <w:jc w:val="left"/>
        <w:outlineLvl w:val="9"/>
        <w:rPr>
          <w:rFonts w:hint="eastAsia" w:ascii="宋体" w:hAnsi="宋体"/>
          <w:b w:val="0"/>
          <w:bCs w:val="0"/>
          <w:sz w:val="24"/>
          <w:szCs w:val="24"/>
        </w:rPr>
      </w:pPr>
      <w:bookmarkStart w:id="18" w:name="_GoBack"/>
      <w:bookmarkEnd w:id="18"/>
    </w:p>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8"/>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bookmarkEnd w:id="15"/>
    <w:p>
      <w:pPr>
        <w:spacing w:before="312" w:beforeLines="100" w:line="360" w:lineRule="auto"/>
        <w:rPr>
          <w:rFonts w:ascii="宋体" w:hAnsi="宋体" w:cs="宋体"/>
          <w:bCs/>
          <w:kern w:val="0"/>
          <w:sz w:val="24"/>
          <w:szCs w:val="24"/>
        </w:rPr>
      </w:pPr>
      <w:bookmarkStart w:id="17" w:name="_Toc20152"/>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6"/>
    <w:bookmarkEnd w:id="17"/>
    <w:p>
      <w:pPr>
        <w:autoSpaceDE w:val="0"/>
        <w:autoSpaceDN w:val="0"/>
        <w:adjustRightInd w:val="0"/>
        <w:spacing w:before="468" w:beforeLines="150" w:line="360" w:lineRule="auto"/>
        <w:jc w:val="center"/>
        <w:rPr>
          <w:rFonts w:hint="eastAsia" w:ascii="宋体" w:hAnsi="宋体" w:eastAsia="宋体"/>
          <w:b/>
          <w:bCs/>
          <w:sz w:val="30"/>
          <w:szCs w:val="30"/>
          <w:lang w:val="en-US" w:eastAsia="zh-CN"/>
        </w:rPr>
      </w:pPr>
      <w:r>
        <w:rPr>
          <w:rFonts w:hint="eastAsia" w:ascii="宋体" w:hAnsi="宋体"/>
          <w:b/>
          <w:bCs/>
          <w:sz w:val="30"/>
          <w:szCs w:val="30"/>
          <w:lang w:val="en-US" w:eastAsia="zh-CN"/>
        </w:rPr>
        <w:t>六、实施方案或采购要求响应承诺</w:t>
      </w:r>
    </w:p>
    <w:p>
      <w:pPr>
        <w:autoSpaceDE w:val="0"/>
        <w:autoSpaceDN w:val="0"/>
        <w:adjustRightInd w:val="0"/>
        <w:spacing w:line="360" w:lineRule="auto"/>
        <w:jc w:val="center"/>
        <w:rPr>
          <w:rFonts w:hint="eastAsia" w:ascii="宋体" w:hAnsi="宋体"/>
          <w:sz w:val="28"/>
          <w:szCs w:val="28"/>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10158D6"/>
    <w:rsid w:val="011B671E"/>
    <w:rsid w:val="01E4322D"/>
    <w:rsid w:val="02025461"/>
    <w:rsid w:val="0261487E"/>
    <w:rsid w:val="03D226E3"/>
    <w:rsid w:val="05E03D0C"/>
    <w:rsid w:val="05E7509A"/>
    <w:rsid w:val="07943000"/>
    <w:rsid w:val="079B438E"/>
    <w:rsid w:val="09D45935"/>
    <w:rsid w:val="09D60B55"/>
    <w:rsid w:val="09EA5159"/>
    <w:rsid w:val="0BF07825"/>
    <w:rsid w:val="0C8D02F3"/>
    <w:rsid w:val="0CDA2915"/>
    <w:rsid w:val="0D0129AA"/>
    <w:rsid w:val="0D0E73B0"/>
    <w:rsid w:val="0D1343D9"/>
    <w:rsid w:val="0D2C3CDA"/>
    <w:rsid w:val="0E9B4C74"/>
    <w:rsid w:val="119D0F28"/>
    <w:rsid w:val="12AE4330"/>
    <w:rsid w:val="13115856"/>
    <w:rsid w:val="14A83A1A"/>
    <w:rsid w:val="15777D4D"/>
    <w:rsid w:val="15793835"/>
    <w:rsid w:val="162D4D4B"/>
    <w:rsid w:val="171E6442"/>
    <w:rsid w:val="180A38FE"/>
    <w:rsid w:val="19232435"/>
    <w:rsid w:val="198E7B7A"/>
    <w:rsid w:val="1A666D39"/>
    <w:rsid w:val="1B506DE6"/>
    <w:rsid w:val="1BD21EF1"/>
    <w:rsid w:val="1DDD4A43"/>
    <w:rsid w:val="1DE55F0B"/>
    <w:rsid w:val="20402BC3"/>
    <w:rsid w:val="206967F2"/>
    <w:rsid w:val="20A025BE"/>
    <w:rsid w:val="228A0E2F"/>
    <w:rsid w:val="233174FD"/>
    <w:rsid w:val="241C1F5B"/>
    <w:rsid w:val="24577437"/>
    <w:rsid w:val="26DD2147"/>
    <w:rsid w:val="273D46C2"/>
    <w:rsid w:val="274C6D36"/>
    <w:rsid w:val="2750262D"/>
    <w:rsid w:val="2B46078F"/>
    <w:rsid w:val="2BBB474F"/>
    <w:rsid w:val="2C6D24B5"/>
    <w:rsid w:val="2D144C70"/>
    <w:rsid w:val="2D2E11B0"/>
    <w:rsid w:val="2EA9088F"/>
    <w:rsid w:val="2F723377"/>
    <w:rsid w:val="307F7AFA"/>
    <w:rsid w:val="313F5917"/>
    <w:rsid w:val="319F5CEC"/>
    <w:rsid w:val="31E0281A"/>
    <w:rsid w:val="31FC0472"/>
    <w:rsid w:val="32236BAB"/>
    <w:rsid w:val="330C0CA8"/>
    <w:rsid w:val="337E678E"/>
    <w:rsid w:val="34000F51"/>
    <w:rsid w:val="34CC6925"/>
    <w:rsid w:val="359F03BD"/>
    <w:rsid w:val="37CF580A"/>
    <w:rsid w:val="37FF7772"/>
    <w:rsid w:val="386C3059"/>
    <w:rsid w:val="38EC6CE9"/>
    <w:rsid w:val="38F13912"/>
    <w:rsid w:val="39070FD4"/>
    <w:rsid w:val="39406294"/>
    <w:rsid w:val="39A93E39"/>
    <w:rsid w:val="39C11183"/>
    <w:rsid w:val="3B397CC3"/>
    <w:rsid w:val="3D9666E6"/>
    <w:rsid w:val="3DB74195"/>
    <w:rsid w:val="3E595E2E"/>
    <w:rsid w:val="3FA94ABB"/>
    <w:rsid w:val="3FAB4779"/>
    <w:rsid w:val="400E49F6"/>
    <w:rsid w:val="40652BAF"/>
    <w:rsid w:val="412F2E76"/>
    <w:rsid w:val="41754BF2"/>
    <w:rsid w:val="42352AB0"/>
    <w:rsid w:val="430A1DED"/>
    <w:rsid w:val="441116F8"/>
    <w:rsid w:val="446318E5"/>
    <w:rsid w:val="452B604A"/>
    <w:rsid w:val="46EB783F"/>
    <w:rsid w:val="47186B04"/>
    <w:rsid w:val="479C322F"/>
    <w:rsid w:val="491A0EBA"/>
    <w:rsid w:val="4948541D"/>
    <w:rsid w:val="4A6A13C3"/>
    <w:rsid w:val="4CBF59B7"/>
    <w:rsid w:val="4D151ABA"/>
    <w:rsid w:val="4EB73B1F"/>
    <w:rsid w:val="4F9A0054"/>
    <w:rsid w:val="52140128"/>
    <w:rsid w:val="52D35814"/>
    <w:rsid w:val="532A5B93"/>
    <w:rsid w:val="545729B8"/>
    <w:rsid w:val="54FB52E2"/>
    <w:rsid w:val="556233C2"/>
    <w:rsid w:val="559D264C"/>
    <w:rsid w:val="55FF3307"/>
    <w:rsid w:val="56A13D2C"/>
    <w:rsid w:val="588B41F1"/>
    <w:rsid w:val="5AB566C8"/>
    <w:rsid w:val="5AD7215D"/>
    <w:rsid w:val="5D403FF9"/>
    <w:rsid w:val="60C51B9D"/>
    <w:rsid w:val="610E16A8"/>
    <w:rsid w:val="61124671"/>
    <w:rsid w:val="61EF2482"/>
    <w:rsid w:val="63F024E1"/>
    <w:rsid w:val="66DE27BF"/>
    <w:rsid w:val="6772188E"/>
    <w:rsid w:val="68016A6B"/>
    <w:rsid w:val="69784594"/>
    <w:rsid w:val="6A31115D"/>
    <w:rsid w:val="6A400097"/>
    <w:rsid w:val="6B0637BF"/>
    <w:rsid w:val="6B8005EE"/>
    <w:rsid w:val="6D0B3EE8"/>
    <w:rsid w:val="6E5A4261"/>
    <w:rsid w:val="6EBA5BC5"/>
    <w:rsid w:val="6F4A6F49"/>
    <w:rsid w:val="6FD9185D"/>
    <w:rsid w:val="6FEB152C"/>
    <w:rsid w:val="71CF1988"/>
    <w:rsid w:val="72FB248C"/>
    <w:rsid w:val="7336455A"/>
    <w:rsid w:val="766B47B6"/>
    <w:rsid w:val="77542823"/>
    <w:rsid w:val="77F671BD"/>
    <w:rsid w:val="79134850"/>
    <w:rsid w:val="79CE0C1F"/>
    <w:rsid w:val="7A514C56"/>
    <w:rsid w:val="7A5C06C2"/>
    <w:rsid w:val="7B191A36"/>
    <w:rsid w:val="7D987184"/>
    <w:rsid w:val="7E0806FB"/>
    <w:rsid w:val="7E6671D0"/>
    <w:rsid w:val="7E9F0B34"/>
    <w:rsid w:val="7F162F27"/>
    <w:rsid w:val="7F42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spacing w:after="120" w:afterLines="0"/>
      <w:ind w:firstLine="100" w:firstLineChars="100"/>
      <w:jc w:val="both"/>
    </w:p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360" w:lineRule="auto"/>
      <w:jc w:val="center"/>
      <w:outlineLvl w:val="0"/>
    </w:pPr>
    <w:rPr>
      <w:rFonts w:ascii="Cambria" w:hAnsi="Cambria"/>
      <w:b/>
      <w:bCs/>
      <w:sz w:val="36"/>
      <w:szCs w:val="32"/>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BodyText1I2"/>
    <w:basedOn w:val="13"/>
    <w:qFormat/>
    <w:uiPriority w:val="0"/>
    <w:pPr>
      <w:keepNext/>
      <w:keepLines/>
      <w:spacing w:line="380" w:lineRule="exact"/>
      <w:ind w:firstLine="480"/>
      <w:jc w:val="left"/>
    </w:pPr>
    <w:rPr>
      <w:rFonts w:eastAsia="方正书宋简体" w:cs="Times New Roman"/>
      <w:b/>
      <w:bCs/>
      <w:sz w:val="28"/>
      <w:szCs w:val="28"/>
    </w:rPr>
  </w:style>
  <w:style w:type="paragraph" w:customStyle="1" w:styleId="13">
    <w:name w:val="BodyTextIndent"/>
    <w:basedOn w:val="1"/>
    <w:qFormat/>
    <w:uiPriority w:val="0"/>
    <w:pPr>
      <w:ind w:firstLine="200" w:firstLineChars="200"/>
    </w:pPr>
    <w:rPr>
      <w:rFonts w:ascii="仿宋_GB2312" w:eastAsia="仿宋_GB2312"/>
      <w:sz w:val="32"/>
    </w:rPr>
  </w:style>
  <w:style w:type="paragraph" w:customStyle="1" w:styleId="14">
    <w:name w:val="_Style 2"/>
    <w:basedOn w:val="1"/>
    <w:next w:val="1"/>
    <w:qFormat/>
    <w:uiPriority w:val="0"/>
    <w:pPr>
      <w:ind w:firstLine="420" w:firstLineChars="200"/>
    </w:pPr>
  </w:style>
  <w:style w:type="character" w:customStyle="1" w:styleId="15">
    <w:name w:val="font71"/>
    <w:basedOn w:val="10"/>
    <w:qFormat/>
    <w:uiPriority w:val="0"/>
    <w:rPr>
      <w:rFonts w:hint="eastAsia" w:ascii="微软雅黑" w:hAnsi="微软雅黑" w:eastAsia="微软雅黑" w:cs="微软雅黑"/>
      <w:b/>
      <w:bCs/>
      <w:color w:val="000000"/>
      <w:sz w:val="20"/>
      <w:szCs w:val="20"/>
      <w:u w:val="none"/>
      <w:vertAlign w:val="superscript"/>
    </w:rPr>
  </w:style>
  <w:style w:type="character" w:customStyle="1" w:styleId="16">
    <w:name w:val="font61"/>
    <w:basedOn w:val="10"/>
    <w:qFormat/>
    <w:uiPriority w:val="0"/>
    <w:rPr>
      <w:rFonts w:hint="eastAsia" w:ascii="微软雅黑" w:hAnsi="微软雅黑" w:eastAsia="微软雅黑" w:cs="微软雅黑"/>
      <w:color w:val="000000"/>
      <w:sz w:val="20"/>
      <w:szCs w:val="20"/>
      <w:u w:val="single"/>
    </w:rPr>
  </w:style>
  <w:style w:type="character" w:customStyle="1" w:styleId="17">
    <w:name w:val="font51"/>
    <w:basedOn w:val="10"/>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2210</Words>
  <Characters>2334</Characters>
  <Lines>0</Lines>
  <Paragraphs>0</Paragraphs>
  <TotalTime>1</TotalTime>
  <ScaleCrop>false</ScaleCrop>
  <LinksUpToDate>false</LinksUpToDate>
  <CharactersWithSpaces>3203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cp:lastPrinted>2023-09-15T08:36:00Z</cp:lastPrinted>
  <dcterms:modified xsi:type="dcterms:W3CDTF">2023-09-27T02:20:09Z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4CF736F6F6A94E4AB6AD1B62FC3F1813</vt:lpwstr>
  </property>
</Properties>
</file>