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Toc1602530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企业云盘项目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ascii="宋体" w:hAnsi="宋体"/>
          <w:bCs/>
          <w:sz w:val="28"/>
        </w:rPr>
        <w:t>2</w:t>
      </w:r>
      <w:r>
        <w:rPr>
          <w:rFonts w:hint="eastAsia" w:ascii="宋体" w:hAnsi="宋体"/>
          <w:bCs/>
          <w:sz w:val="28"/>
          <w:lang w:val="en-US" w:eastAsia="zh-CN"/>
        </w:rPr>
        <w:t>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 xml:space="preserve"> 8 </w:t>
      </w:r>
      <w:r>
        <w:rPr>
          <w:rFonts w:hint="eastAsia" w:ascii="宋体" w:hAnsi="宋体"/>
          <w:bCs/>
          <w:sz w:val="28"/>
        </w:rPr>
        <w:t>月</w:t>
      </w:r>
    </w:p>
    <w:p>
      <w:pPr>
        <w:pStyle w:val="2"/>
        <w:rPr>
          <w:rFonts w:hint="eastAsia" w:ascii="宋体" w:hAnsi="宋体"/>
          <w:kern w:val="24"/>
          <w:sz w:val="30"/>
          <w:szCs w:val="30"/>
        </w:rPr>
      </w:pPr>
    </w:p>
    <w:p>
      <w:pPr>
        <w:pStyle w:val="2"/>
        <w:rPr>
          <w:rFonts w:hint="eastAsia" w:ascii="宋体" w:hAnsi="宋体"/>
          <w:kern w:val="24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一、项目概况：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1.采购人名称：长城新媒体集团有限公司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2.项目名称：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企业云盘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3.项目预算金额：系统费用16万元，服务费用2万元/年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4.采购方式：询价采购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5.采购内容：实现非结构化数据统一管理的企业云盘建设，对图片、视频、文档等非结构化数据进行统一存储、管理，提高数据使用的安全性、便捷性。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6.项目实施地点：云端部署系统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7.项目服务：本项目部署完成并经过验收后，提供一年免费服务，自第二年起服务费用不超2万元/年，包括但不限于技术支持、培训、系统升级等。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控股、管理关系的不同单位，不得同时参与投标；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三、报名及领取文件时间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日至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文件，并及时查看有无澄清或修改等资料。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四、响应文件递交：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响应文件递交截止时间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（开标时间）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：202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日 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9:30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，逾期送达的或者未送达指定地点的响应文件，采购人不予受理。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项目联系人：刘先生             联系电话：13930123568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本公告发布媒体：长城网</w:t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二、采购项目内容及要求</w:t>
      </w:r>
    </w:p>
    <w:p>
      <w:pPr>
        <w:pStyle w:val="2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5"/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一、系统功能及功能要求</w:t>
      </w:r>
    </w:p>
    <w:tbl>
      <w:tblPr>
        <w:tblStyle w:val="9"/>
        <w:tblW w:w="49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84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功能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功能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数据存储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支持文件数据分块，数据加密后存储；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多副本冗余存储；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支持块数据删重，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内容相同的数据不重复存储。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数据传输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采用HTTPS加密传输；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支持文件断点续传，对于大文件传输可以随时中断，网络恢复后继续之前的传输，避免重复数据多次传输。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登录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及安全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支持B/S、C/S、APP多种访问方式：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支持账号密码、扫二维码多种登录方式；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登录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要求输入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验证码进行二次验证；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连续验证失败次数限制，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连续验证失败超过设定值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的账号进行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锁定，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经管理员核实后可解锁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首次登录强制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账号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修改密码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设置；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密码定期更换、密码位数、密码复杂度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验证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支持系统退出后自动清除离线缓存数据。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文件管理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每个用户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的个人文件、多人协作文件、群组文件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应为不同的文件夹且分别进行管理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，并使用不同的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存储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空间存储；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用户邀请其他用户共同完成文件收集整理；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支持文件的移动、复制；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收藏夹、标签功能，收藏文件和标签文件可快速定位、访问。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文件权限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支持设置角色，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可设置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用户管理公共文件夹的访问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账号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及访问权限；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支持用户对协作文件、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群组文件进行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访问权限管理；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权限管控可细化到对任一文件；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支持管理员基于文件、文件夹的权限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修改、继承和管理。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文件预览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支持office、PDF等格式文件的在线预览；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支持图片、音频、视频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的在线预览，视频预览支持流畅和原画等格式；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支持office文档预览时添加水印。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历史版本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支持文件历史版本，详细记录文件的修订历史；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支持对历史版本文件的预览、下载、恢复、删除、版本对比等；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支持对历史版本数量上限、历史版本保存时间间隔、历史版本删除策略设置。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文件评论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支持文件评论，支持回复评论信息；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评论消息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及时展示；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支持管理员对评论信息进行维护。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搜索功能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支持包括但不限于文件大小、文件类型、文件的创建/修改用户、关键字等多维度搜索；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支持全文检索；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支持搜索结果按时间、大小等排序。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内部分享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支持内部用户之间一对一、一对多分享；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支持对分享设置访问权限、有效期等；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支持发送访问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消息；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支持分享策略限制，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可以管理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使用分享功能的用户及用户所能分享的文件范围。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外部分享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支持通过链接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分享，无需登录即可访问分享文件；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支持对分享链接设置访问密码、访问次数、访问IP、链接有效期等；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支持对分享的文件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或文件夹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设置访问权限；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支持分享链接邮件发送、二维码访问等；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支持管理员对外部分享的策略进行全局管控，设置创建和使用分享的参数；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支持管理员对用户所有的分享外链进行维护管理。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同步备份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支持单向、双向、手动、自动同步；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支持自定义同步的文件夹，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设置同步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本地及云盘位置；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支持自动同步时设置同步时间、同步周期；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支持设置同步文件类型、大小等过滤条件；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支持详细记录同步日志。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文件上传下载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支持上传、批量下载；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支持加密传输；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支持对指定用户限制上传/下载速度。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设备管理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支持访问设备管理，支持绑定多台访问设备；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支持管理员设置访问设备退出系统后清除本机缓存数据；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支持管理员配置设备管理策略。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消息中心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提供消息中心功能，可统一查看、管理各类消息、通知；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实现消息实时提醒。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交接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交接功能，管理员可以将离职或调岗用户的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文件、文件夹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及权限交接给指定的接收人；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接收人可接收离职或调岗用户的个人文件、协作文件以及公共文件库中文件的访问权限，确保数据时刻处于管控。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架构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支持按照企业组织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架构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统一管理用户；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支持批量导入创建组织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架构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支持多级管理；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支持手动锁定部门/用户。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文件水印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设置图形和文字水印；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支持水印管理，管理员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可以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统一设置水印样式、策略、适用范围等；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支持设置预览文件、分享文件显示水印。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回收站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具备用户回收站和系统二级回收站，系统二级回收站存放用户回收站中清除的文件；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回收站提供高级检索功能，可以根据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时间段、用户、关键词等维度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检索；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回收站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可将用户清除的文件还原到原位置；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管理员可以设定用户回收站和系统二级回收站中文件的保留时长，超时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后可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自动清理。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日志审计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具有日志记录审计功能，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用户的文件操作动作、系统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登录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、系统配置管理等操作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详细记录；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多维度对日志进行筛选；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支持设定将历史日志加密保存，归档。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内容合规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敏感词检测，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可对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文件全文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敏感词检测；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检测到敏感词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自动提醒并将文件放入系统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特定区域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等待管理员处理。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审批模式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系统配置审批模式，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可对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上传、删除、链接分享等操作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审批流程。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在线文字处理编辑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在线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文字处理编辑功能，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字体调整，字号修改，字体加粗，斜体，下划线，删除线，字体颜色，左右、分散对齐方式，行距调整，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撤回，格式刷，清除格式，缩进，项目符号，编号格式，插入，查找替换，打印；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页边距，纸张方向，页眉页脚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文字处理提供插入功能，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插入表格，图片，水印，分页，书签；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文字处理提供审阅功能，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文档批注，修订，修订记录的显示状态与筛选，限制编辑操作；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支持套红功能。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在线电子表格编辑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提供电子表格编辑功能，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操作撤回，格式刷，清除格式，字体调整，字号调整，字体加粗，斜体，下划线，删除线，字体颜色，左右、上下对齐方式，单元格合并，单元格换行，小数位数，求和，筛选，升/降序排列，冻结窗格，查找替换，填充，打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电子表格提供插入功能，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插入单元格，插入行列，下拉列表，图片，链接，批注，插入柱状图，折线图，饼图，条形图，面积图；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提供多种数据处理方式，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筛选，排序，文本转为数值，条件格式，数据有效性，重复项，分列，分组；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支持工作表权限管理；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支持保护工作表及可编辑区域的设置；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支持多样的视图模式，阅读模式，显示比例，网格线。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在线演示文档编辑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支持演示文档常规操作，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包括但不限于操作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撤回，字体调整，字号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，幻灯片，文字框；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支持演示文档主题应用，配色方案，背景修改，填充颜色；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支持演示文档插入功能，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插入图片，形状，文本框，链接，表格，视频；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支持审阅批注；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支持演示文档播放功能。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杀毒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集成杀毒功能，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对用户上传内容进行病毒查杀。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系统管理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支持管理员对系统运行的各项参数统一配置，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登录验证、部门展示、存储空间、历史版本、文件列表、最近使用文件等参数。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系统运行信息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管理员可查看系统的运行信息、系统运行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状况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包括但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不限于账号总体情况、空间总体情况、使用终端总体情况等。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空间管理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支持用户个人空间、协作空间、公共空间使用阈值预警；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支持预警信息发送邮件；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支持用户个人空间、协作空间、公共空间的手动动态调整。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运营统计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提供云盘空间、用户、文件的统计信息，要求至少包括云盘空间分配及使用情况、活跃用户情况、文件分类及数量统计、高频文件操作统计等；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用户活跃数量、文件活跃状况可以提供当天、近1周、近1月及自由设定时间段的排名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op10报表；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运营统计数据支持可视化展现；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支持统计结果导出。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三员管理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提供普通管理模式和三员管理模式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三员管理模式中系统管理员、安全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员、安全审计员分别承担系统管理、系统安全配置与安全管理、系统日志审计工作。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浏览器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支持Edge、chrome、firefox、360等主流浏览器。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桌面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终端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支持window7、windows10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32bit/64bit，Mac10.13+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等系统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插件支持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支持Office、WPS、Outlook客户端插件。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端操作系统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可在阿里云平台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Alibaba Cloud Linux 2.1903 LTS 64位、AlmaLinux 9.2 64位、Ubuntu 18.04 64位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及以上版本之一中部署；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可定制适配主流国产设备及系统环境。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存储支持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支持NFS、CIFS、Samba、iscsi、FC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主流分布式多种存储方式。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用户认证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支持与用户认证系统集成，实现统一用户认证和单点登录；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支持对指定的域用户组织执行手动同步。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扩展功能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支持个性化配置，可以对Web客户端、Windows客户端、Mac客户端、iOS客户端、Android客户端进行个性化配置，包括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产品名称、产品logo、登录界面、应用程序图标、默认服务器地址等；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支持API、自定义插件等多种开放接口和集成方式，灵活满足各种应用集成场景，包括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身份认证集成、用户组织集成、文件服务集成、业务流程集成、消息应用集成等；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提供Web组件，方便第三方平台进行快速整合。可以提供包括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但不限于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文件上传、下载、预览、视频播放、图片浏览、单点登录、文件共享、权限、文件评论、属性、标签、消息中心等W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eb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开放组件。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部署模式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支持单中心、集群化、多网络环境、纯软件等多种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方式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部署架构。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6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用户。</w:t>
            </w:r>
          </w:p>
        </w:tc>
      </w:tr>
    </w:tbl>
    <w:p>
      <w:pPr>
        <w:pStyle w:val="2"/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"/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二、售后服务要求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系统部署完毕经验收后，提供一年免费维保服务。提供7*24小时售后服务，售后服务包括但不限于产品部署、操作、使用咨询及应用、技术问题的解答，产品使用及操作培训，系统维护，系统及安全应急处置，系统及运行环境漏洞修复等。为用户提供产品介绍、操作、项目部署、培训资料等相关电子文档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以上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lang w:val="en-US" w:eastAsia="zh-CN" w:bidi="ar-SA"/>
        </w:rPr>
        <w:t>内容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求的其投标无效。</w:t>
      </w:r>
    </w:p>
    <w:p>
      <w:pPr>
        <w:pStyle w:val="5"/>
        <w:bidi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三、报价计算及中标方式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系统报价=系统投标报价×价格权值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服务报价=服务投标报价×价格权值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系统报价价格权值=0.4，服务报价价格权值=0.6；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在满足参数要求和服务要求，且符合响应文件报送要求的询价文件中，加权合计报价最低者中标。</w:t>
      </w:r>
    </w:p>
    <w:p>
      <w:pPr>
        <w:pStyle w:val="2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4"/>
        <w:spacing w:before="0" w:after="0"/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</w:t>
      </w:r>
      <w:r>
        <w:rPr>
          <w:rFonts w:ascii="宋体" w:hAnsi="宋体" w:eastAsia="宋体"/>
          <w:b/>
          <w:bCs/>
          <w:sz w:val="28"/>
          <w:szCs w:val="28"/>
        </w:rPr>
        <w:t>响应文件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构成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/>
          <w:kern w:val="1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（1）法定代表人身份证明书（2）法定代表人授权委托书（3）</w:t>
      </w:r>
      <w:r>
        <w:rPr>
          <w:rFonts w:hint="eastAsia" w:ascii="宋体" w:hAnsi="宋体"/>
          <w:sz w:val="28"/>
          <w:szCs w:val="28"/>
          <w:lang w:eastAsia="zh-CN"/>
        </w:rPr>
        <w:t>报价</w:t>
      </w:r>
      <w:r>
        <w:rPr>
          <w:rFonts w:hint="eastAsia" w:ascii="宋体" w:hAnsi="宋体"/>
          <w:sz w:val="28"/>
          <w:szCs w:val="28"/>
        </w:rPr>
        <w:t>函（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采购项目内容要求响应及</w:t>
      </w:r>
      <w:r>
        <w:rPr>
          <w:rFonts w:hint="eastAsia" w:ascii="宋体" w:hAnsi="宋体"/>
          <w:sz w:val="28"/>
          <w:szCs w:val="28"/>
        </w:rPr>
        <w:t>分项报价明细表（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）资格证明文件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系统厂商对此项目的</w:t>
      </w:r>
      <w:r>
        <w:rPr>
          <w:rFonts w:hint="eastAsia" w:ascii="宋体" w:hAnsi="宋体"/>
          <w:sz w:val="28"/>
          <w:szCs w:val="28"/>
          <w:lang w:val="zh-TW" w:eastAsia="zh-TW"/>
        </w:rPr>
        <w:t>售后</w:t>
      </w:r>
      <w:r>
        <w:rPr>
          <w:rFonts w:hint="eastAsia" w:ascii="宋体" w:hAnsi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/>
          <w:sz w:val="28"/>
          <w:szCs w:val="28"/>
          <w:lang w:val="zh-TW" w:eastAsia="zh-TW"/>
        </w:rPr>
        <w:t>承诺函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）企业概况</w:t>
      </w:r>
    </w:p>
    <w:p>
      <w:pPr>
        <w:pStyle w:val="4"/>
        <w:spacing w:before="0" w:after="0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4"/>
        <w:spacing w:before="0" w:after="0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四、响应文件报送要求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z w:val="46"/>
          <w:szCs w:val="48"/>
          <w:highlight w:val="none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XXXXXXXXXX</w:t>
      </w: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</w:rPr>
        <w:t>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16025318"/>
      <w:bookmarkStart w:id="2" w:name="_Toc3253"/>
      <w:bookmarkStart w:id="3" w:name="_Toc16625"/>
      <w:bookmarkStart w:id="4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6025319"/>
      <w:bookmarkStart w:id="6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2"/>
        <w:rPr>
          <w:rFonts w:ascii="宋体" w:hAnsi="宋体"/>
          <w:b/>
          <w:bCs/>
          <w:sz w:val="30"/>
          <w:szCs w:val="30"/>
        </w:rPr>
      </w:pPr>
    </w:p>
    <w:p>
      <w:pPr>
        <w:pStyle w:val="2"/>
        <w:rPr>
          <w:rFonts w:ascii="宋体" w:hAnsi="宋体"/>
          <w:b/>
          <w:bCs/>
          <w:sz w:val="30"/>
          <w:szCs w:val="30"/>
        </w:rPr>
      </w:pPr>
    </w:p>
    <w:p>
      <w:pPr>
        <w:pStyle w:val="2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32234"/>
      <w:bookmarkStart w:id="10" w:name="_Toc16025321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采购项目内容要求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lang w:val="en-US" w:eastAsia="zh-CN" w:bidi="ar-SA"/>
        </w:rPr>
        <w:t>响应及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</w:p>
    <w:p>
      <w:pPr>
        <w:pStyle w:val="2"/>
        <w:rPr>
          <w:rFonts w:hint="eastAsia"/>
          <w:lang w:eastAsia="zh-CN"/>
        </w:rPr>
      </w:pPr>
    </w:p>
    <w:p>
      <w:pPr>
        <w:pStyle w:val="5"/>
        <w:numPr>
          <w:ilvl w:val="0"/>
          <w:numId w:val="1"/>
        </w:numPr>
        <w:bidi w:val="0"/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系统功能要求响应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tbl>
      <w:tblPr>
        <w:tblStyle w:val="9"/>
        <w:tblW w:w="53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10"/>
        <w:gridCol w:w="543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功能</w:t>
            </w:r>
          </w:p>
        </w:tc>
        <w:tc>
          <w:tcPr>
            <w:tcW w:w="29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功能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pStyle w:val="5"/>
        <w:numPr>
          <w:ilvl w:val="0"/>
          <w:numId w:val="1"/>
        </w:numPr>
        <w:bidi w:val="0"/>
        <w:jc w:val="center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售后服务要求响应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p>
      <w:pPr>
        <w:pStyle w:val="5"/>
        <w:numPr>
          <w:ilvl w:val="0"/>
          <w:numId w:val="0"/>
        </w:numPr>
        <w:bidi w:val="0"/>
        <w:jc w:val="both"/>
        <w:rPr>
          <w:rFonts w:hint="default" w:ascii="宋体" w:hAnsi="宋体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tbl>
      <w:tblPr>
        <w:tblStyle w:val="9"/>
        <w:tblW w:w="9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687"/>
        <w:gridCol w:w="2340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报价项目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XXXXX系统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yellow"/>
                <w:u w:val="single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服务费用（每年）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yellow"/>
                <w:u w:val="single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</w:tbl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4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按照项目采购内容分项报价，</w:t>
      </w:r>
      <w:r>
        <w:rPr>
          <w:rFonts w:hint="eastAsia" w:ascii="宋体" w:hAnsi="宋体"/>
          <w:b w:val="0"/>
          <w:bCs w:val="0"/>
          <w:sz w:val="24"/>
          <w:szCs w:val="24"/>
        </w:rPr>
        <w:t>表格不足可扩展、续填，但不可缺项。</w:t>
      </w:r>
    </w:p>
    <w:p>
      <w:pPr>
        <w:pStyle w:val="8"/>
        <w:numPr>
          <w:ilvl w:val="0"/>
          <w:numId w:val="2"/>
        </w:numPr>
        <w:ind w:firstLine="840" w:firstLineChars="350"/>
        <w:jc w:val="left"/>
        <w:outlineLvl w:val="9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供应商需综合考虑各项风险费用，一切少报、漏报项目均视为已含进总报价，成交后采购人不再另行支付。</w:t>
      </w:r>
    </w:p>
    <w:p>
      <w:pPr>
        <w:pStyle w:val="8"/>
        <w:numPr>
          <w:ilvl w:val="0"/>
          <w:numId w:val="2"/>
        </w:numPr>
        <w:ind w:firstLine="840" w:firstLineChars="350"/>
        <w:jc w:val="left"/>
        <w:outlineLvl w:val="9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以上报价为含税价。</w:t>
      </w:r>
      <w:r>
        <w:rPr>
          <w:rFonts w:hint="eastAsia" w:ascii="宋体" w:hAnsi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</w:t>
      </w:r>
      <w:bookmarkStart w:id="15" w:name="_Toc7148"/>
      <w:bookmarkStart w:id="16" w:name="_Toc16025324"/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（3）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-SA"/>
        </w:rPr>
        <w:t>系统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软件著作权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（4）代理方需提供系统厂家对本项目的授权；</w:t>
      </w:r>
    </w:p>
    <w:p>
      <w:pPr>
        <w:pStyle w:val="13"/>
        <w:spacing w:line="50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（5）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系统厂商对此项目的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zh-TW" w:eastAsia="zh-TW" w:bidi="ar"/>
        </w:rPr>
        <w:t>售后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zh-TW" w:eastAsia="zh-TW" w:bidi="ar"/>
        </w:rPr>
        <w:t>承诺函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六、系统厂商对此项目的</w:t>
      </w:r>
      <w:r>
        <w:rPr>
          <w:rFonts w:hint="eastAsia" w:ascii="宋体" w:hAnsi="宋体"/>
          <w:b/>
          <w:bCs/>
          <w:sz w:val="30"/>
          <w:szCs w:val="30"/>
          <w:lang w:val="zh-TW" w:eastAsia="zh-TW"/>
        </w:rPr>
        <w:t>售后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服务</w:t>
      </w:r>
      <w:r>
        <w:rPr>
          <w:rFonts w:hint="eastAsia" w:ascii="宋体" w:hAnsi="宋体"/>
          <w:b/>
          <w:bCs/>
          <w:sz w:val="30"/>
          <w:szCs w:val="30"/>
          <w:lang w:val="zh-TW" w:eastAsia="zh-TW"/>
        </w:rPr>
        <w:t>承诺函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9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D52DB"/>
    <w:multiLevelType w:val="singleLevel"/>
    <w:tmpl w:val="D11D52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D66C0E"/>
    <w:multiLevelType w:val="singleLevel"/>
    <w:tmpl w:val="28D66C0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WQ3NTQ0YjQ1MTAwMzMwYmRlZWFlODdlYjQzNGIifQ=="/>
  </w:docVars>
  <w:rsids>
    <w:rsidRoot w:val="00000000"/>
    <w:rsid w:val="001342D4"/>
    <w:rsid w:val="00547178"/>
    <w:rsid w:val="01964270"/>
    <w:rsid w:val="021A6C4F"/>
    <w:rsid w:val="0225011E"/>
    <w:rsid w:val="02C55D44"/>
    <w:rsid w:val="05CB6EF9"/>
    <w:rsid w:val="06AB431A"/>
    <w:rsid w:val="0708351A"/>
    <w:rsid w:val="07326E35"/>
    <w:rsid w:val="07943000"/>
    <w:rsid w:val="07A3126D"/>
    <w:rsid w:val="07E24A3C"/>
    <w:rsid w:val="082E4B58"/>
    <w:rsid w:val="08BC1208"/>
    <w:rsid w:val="09510A7C"/>
    <w:rsid w:val="0A105434"/>
    <w:rsid w:val="0A8125E7"/>
    <w:rsid w:val="0B1B7942"/>
    <w:rsid w:val="0DDF48E9"/>
    <w:rsid w:val="0EDC03E7"/>
    <w:rsid w:val="0F1B4006"/>
    <w:rsid w:val="0F5B4403"/>
    <w:rsid w:val="106109DE"/>
    <w:rsid w:val="11091518"/>
    <w:rsid w:val="11673533"/>
    <w:rsid w:val="13051255"/>
    <w:rsid w:val="131D034D"/>
    <w:rsid w:val="13AF2253"/>
    <w:rsid w:val="15335AEB"/>
    <w:rsid w:val="15477903"/>
    <w:rsid w:val="156C5DB7"/>
    <w:rsid w:val="15D867AD"/>
    <w:rsid w:val="16C60CFC"/>
    <w:rsid w:val="16CD208A"/>
    <w:rsid w:val="1702724C"/>
    <w:rsid w:val="170D2F48"/>
    <w:rsid w:val="18AE2AEB"/>
    <w:rsid w:val="18D62DA1"/>
    <w:rsid w:val="191434CA"/>
    <w:rsid w:val="19F45B80"/>
    <w:rsid w:val="19F81277"/>
    <w:rsid w:val="1B0E67CD"/>
    <w:rsid w:val="1BCA18FF"/>
    <w:rsid w:val="1C232984"/>
    <w:rsid w:val="1C314815"/>
    <w:rsid w:val="1CBE02FD"/>
    <w:rsid w:val="1F707A57"/>
    <w:rsid w:val="2036639F"/>
    <w:rsid w:val="205360FA"/>
    <w:rsid w:val="210448FA"/>
    <w:rsid w:val="21C9635D"/>
    <w:rsid w:val="228A0E2F"/>
    <w:rsid w:val="23243032"/>
    <w:rsid w:val="23554A90"/>
    <w:rsid w:val="23BD3B40"/>
    <w:rsid w:val="23D35650"/>
    <w:rsid w:val="23E822B1"/>
    <w:rsid w:val="24303173"/>
    <w:rsid w:val="24975A86"/>
    <w:rsid w:val="2563432E"/>
    <w:rsid w:val="25695081"/>
    <w:rsid w:val="25A64364"/>
    <w:rsid w:val="26B4291F"/>
    <w:rsid w:val="270E1DFE"/>
    <w:rsid w:val="2753282F"/>
    <w:rsid w:val="27666B20"/>
    <w:rsid w:val="2881374C"/>
    <w:rsid w:val="29C67614"/>
    <w:rsid w:val="2A2B739C"/>
    <w:rsid w:val="2A5001BE"/>
    <w:rsid w:val="2BE15695"/>
    <w:rsid w:val="2C003B81"/>
    <w:rsid w:val="2C221513"/>
    <w:rsid w:val="2D010B86"/>
    <w:rsid w:val="2D621DCA"/>
    <w:rsid w:val="2E795551"/>
    <w:rsid w:val="301A386E"/>
    <w:rsid w:val="30C65728"/>
    <w:rsid w:val="30D45A5B"/>
    <w:rsid w:val="30E93052"/>
    <w:rsid w:val="318200BE"/>
    <w:rsid w:val="32987598"/>
    <w:rsid w:val="32F921EB"/>
    <w:rsid w:val="333073EA"/>
    <w:rsid w:val="33835108"/>
    <w:rsid w:val="33D4390E"/>
    <w:rsid w:val="341D4BE5"/>
    <w:rsid w:val="34F419DF"/>
    <w:rsid w:val="365315CB"/>
    <w:rsid w:val="382A58FC"/>
    <w:rsid w:val="390E5CB1"/>
    <w:rsid w:val="3B585B17"/>
    <w:rsid w:val="3C223052"/>
    <w:rsid w:val="3C542605"/>
    <w:rsid w:val="3D4B2E6F"/>
    <w:rsid w:val="3D770AC5"/>
    <w:rsid w:val="3E3A7C6B"/>
    <w:rsid w:val="3FC03C8B"/>
    <w:rsid w:val="400420D2"/>
    <w:rsid w:val="40CA2C90"/>
    <w:rsid w:val="40D07EFD"/>
    <w:rsid w:val="416E5D5B"/>
    <w:rsid w:val="4273530A"/>
    <w:rsid w:val="43B94008"/>
    <w:rsid w:val="44496945"/>
    <w:rsid w:val="44CB735A"/>
    <w:rsid w:val="46434EE4"/>
    <w:rsid w:val="466C70B0"/>
    <w:rsid w:val="475E44B5"/>
    <w:rsid w:val="4A3D5CDE"/>
    <w:rsid w:val="4AA06B93"/>
    <w:rsid w:val="4B8A1D1C"/>
    <w:rsid w:val="4C08208A"/>
    <w:rsid w:val="4C9605B5"/>
    <w:rsid w:val="4CBB1A1E"/>
    <w:rsid w:val="4CEF5501"/>
    <w:rsid w:val="4D5253B4"/>
    <w:rsid w:val="507C3BFE"/>
    <w:rsid w:val="50B3698C"/>
    <w:rsid w:val="50DD7482"/>
    <w:rsid w:val="51B3364F"/>
    <w:rsid w:val="53903C6C"/>
    <w:rsid w:val="539D6285"/>
    <w:rsid w:val="53A47807"/>
    <w:rsid w:val="55865B56"/>
    <w:rsid w:val="55CE67D9"/>
    <w:rsid w:val="56124DC6"/>
    <w:rsid w:val="56544746"/>
    <w:rsid w:val="56EA1935"/>
    <w:rsid w:val="57913175"/>
    <w:rsid w:val="57AA648E"/>
    <w:rsid w:val="58EE4BFD"/>
    <w:rsid w:val="58FC706B"/>
    <w:rsid w:val="59A02A53"/>
    <w:rsid w:val="5A131589"/>
    <w:rsid w:val="5AC05CF5"/>
    <w:rsid w:val="5B4913DB"/>
    <w:rsid w:val="5C5933F8"/>
    <w:rsid w:val="5C855BE8"/>
    <w:rsid w:val="5CE02135"/>
    <w:rsid w:val="5DEF3E2B"/>
    <w:rsid w:val="5E6E7727"/>
    <w:rsid w:val="5F061262"/>
    <w:rsid w:val="5FEC1938"/>
    <w:rsid w:val="6011261F"/>
    <w:rsid w:val="60A25F05"/>
    <w:rsid w:val="62173786"/>
    <w:rsid w:val="624C05D4"/>
    <w:rsid w:val="62B334AF"/>
    <w:rsid w:val="64D95D84"/>
    <w:rsid w:val="66283182"/>
    <w:rsid w:val="669435F8"/>
    <w:rsid w:val="66BC48FC"/>
    <w:rsid w:val="66C67529"/>
    <w:rsid w:val="67177D85"/>
    <w:rsid w:val="686B2811"/>
    <w:rsid w:val="6887089A"/>
    <w:rsid w:val="6B7852E8"/>
    <w:rsid w:val="6C106A3D"/>
    <w:rsid w:val="6C5B2B17"/>
    <w:rsid w:val="6C607D50"/>
    <w:rsid w:val="6D1E586E"/>
    <w:rsid w:val="6E0A23F1"/>
    <w:rsid w:val="6E0F4BB0"/>
    <w:rsid w:val="6EE96851"/>
    <w:rsid w:val="70812E3F"/>
    <w:rsid w:val="70D842EC"/>
    <w:rsid w:val="72810AD5"/>
    <w:rsid w:val="72964253"/>
    <w:rsid w:val="7311252B"/>
    <w:rsid w:val="74DB3452"/>
    <w:rsid w:val="74E301FA"/>
    <w:rsid w:val="763F004D"/>
    <w:rsid w:val="76690722"/>
    <w:rsid w:val="766F3739"/>
    <w:rsid w:val="76805FBE"/>
    <w:rsid w:val="76841F92"/>
    <w:rsid w:val="78CF4963"/>
    <w:rsid w:val="79501AEB"/>
    <w:rsid w:val="79672532"/>
    <w:rsid w:val="796F57AA"/>
    <w:rsid w:val="79FF3EF0"/>
    <w:rsid w:val="7A6F34F2"/>
    <w:rsid w:val="7B787BB0"/>
    <w:rsid w:val="7D405776"/>
    <w:rsid w:val="7EC21589"/>
    <w:rsid w:val="7F9D0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3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5416</Words>
  <Characters>5706</Characters>
  <Lines>0</Lines>
  <Paragraphs>0</Paragraphs>
  <TotalTime>3</TotalTime>
  <ScaleCrop>false</ScaleCrop>
  <LinksUpToDate>false</LinksUpToDate>
  <CharactersWithSpaces>6652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2022-05-27T03:47:00Z</dcterms:created>
  <dc:creator>hp</dc:creator>
  <cp:lastModifiedBy>水中幻影</cp:lastModifiedBy>
  <dcterms:modified xsi:type="dcterms:W3CDTF">2023-08-25T01:19:35Z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A6D6782EB3E7412C945A2824D292EB80</vt:lpwstr>
  </property>
</Properties>
</file>